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abattis-cantarell-fonts 0.301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2009--2019, The Cantarell Authors</w:t>
        <w:br/>
        <w:t>Copyright (c) 2017-2018 LettError and Erik van Blokland All rights reserved.</w:t>
        <w:br/>
        <w:t>Copyright 2015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OFL</w:t>
      </w:r>
    </w:p>
    <w:p>
      <w:pPr>
        <w:pStyle w:val="18"/>
        <w:rPr>
          <w:rFonts w:ascii="宋体" w:hAnsi="宋体" w:cs="宋体"/>
          <w:sz w:val="22"/>
          <w:szCs w:val="22"/>
        </w:rPr>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(3)aB5qRNRtKvwjwzLEIaZ+IPAgPJZNTTYRy4/swUzCle8n3+MRccbA2a6vPDn/gcr/iQuuiTMB
m1E3R4pCYIyKk4GTtN1P0EWvLlODSUf1FbWwjlIY+7OxFy8bTgjGsPRTRZKUevM5QIbdmgeo
Ls8F/l6nOtMDhES+Y1OrkN7PtXo2wZmtZBULdp87V/4SifnsypQmCyWSiBQNoc9ZcMGGosD9
THciQ4Z8yBVQ9brd12</vt:lpwstr>
  </property>
  <property fmtid="{D5CDD505-2E9C-101B-9397-08002B2CF9AE}" pid="11" name="_2015_ms_pID_7253431">
    <vt:lpwstr>soJ/IqsgYF+75wKpCj+rphTjClNOZ1VbSN2iHqvXQi175GMYsMz5tt
IXvx22ms46XVfxCTc1+GUh0cmvAvY8Fs+EWNBSGHCnq3ROTxj4wv3ku1G4le5D4qa7GBJysT
TH/BLdZE2YcpAiu5K41o1V2Eri487uz3HxDFAHR4pi06sgQl+sTaKv+ZQD3Bs0h4BB4SIBXR
Jz0/uqbbolJGv6Y9ElTXUJqThOj15CbAtCbt</vt:lpwstr>
  </property>
  <property fmtid="{D5CDD505-2E9C-101B-9397-08002B2CF9AE}" pid="12" name="_2015_ms_pID_7253432">
    <vt:lpwstr>pHqXxRw8AzDPmu3LgePWp+fd9LuLoSLlJ1L3
xUU3+kpvBrzn05WQFG2cVb4Js7odeZiZFD1ngE2eBajfRBYPShY=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